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BF" w:rsidRPr="00ED25EF" w:rsidRDefault="00B92412">
      <w:pPr>
        <w:rPr>
          <w:b/>
        </w:rPr>
      </w:pPr>
      <w:r w:rsidRPr="00ED25EF">
        <w:rPr>
          <w:b/>
        </w:rPr>
        <w:t>PSY 225</w:t>
      </w:r>
    </w:p>
    <w:p w:rsidR="00732A36" w:rsidRPr="00ED25EF" w:rsidRDefault="00B92412" w:rsidP="00732A36">
      <w:pPr>
        <w:rPr>
          <w:b/>
        </w:rPr>
      </w:pPr>
      <w:r w:rsidRPr="00ED25EF">
        <w:rPr>
          <w:b/>
        </w:rPr>
        <w:t>Study Guide for Final</w:t>
      </w:r>
      <w:r w:rsidR="00732A36">
        <w:rPr>
          <w:b/>
        </w:rPr>
        <w:tab/>
      </w:r>
      <w:r w:rsidR="00732A36">
        <w:rPr>
          <w:b/>
        </w:rPr>
        <w:tab/>
      </w:r>
      <w:r w:rsidR="00732A36">
        <w:rPr>
          <w:b/>
        </w:rPr>
        <w:tab/>
      </w:r>
      <w:r w:rsidR="00732A36">
        <w:rPr>
          <w:b/>
        </w:rPr>
        <w:tab/>
      </w:r>
      <w:r w:rsidR="00732A36">
        <w:rPr>
          <w:b/>
        </w:rPr>
        <w:t>50 m/</w:t>
      </w:r>
      <w:proofErr w:type="gramStart"/>
      <w:r w:rsidR="00732A36">
        <w:rPr>
          <w:b/>
        </w:rPr>
        <w:t>c ?s</w:t>
      </w:r>
      <w:proofErr w:type="gramEnd"/>
    </w:p>
    <w:p w:rsidR="00B92412" w:rsidRDefault="00B92412" w:rsidP="00ED25EF">
      <w:pPr>
        <w:spacing w:after="0" w:line="240" w:lineRule="auto"/>
      </w:pPr>
      <w:r>
        <w:t>Research designs – experimental, correlational, longitudinal, cross-sectional</w:t>
      </w:r>
    </w:p>
    <w:p w:rsidR="00B92412" w:rsidRDefault="00B92412" w:rsidP="00ED25EF">
      <w:pPr>
        <w:spacing w:after="0" w:line="240" w:lineRule="auto"/>
      </w:pPr>
      <w:r>
        <w:t>Classical conditioning – US, UR, CS, CR</w:t>
      </w:r>
    </w:p>
    <w:p w:rsidR="00B92412" w:rsidRDefault="00B92412" w:rsidP="00ED25EF">
      <w:pPr>
        <w:spacing w:after="0" w:line="240" w:lineRule="auto"/>
      </w:pPr>
      <w:r>
        <w:t>Operant Conditioning – reinforcement</w:t>
      </w:r>
    </w:p>
    <w:p w:rsidR="00B92412" w:rsidRDefault="00ED25EF" w:rsidP="00ED25EF">
      <w:pPr>
        <w:spacing w:after="0" w:line="240" w:lineRule="auto"/>
      </w:pPr>
      <w:r>
        <w:t>Dominant and Recessive traits</w:t>
      </w:r>
    </w:p>
    <w:p w:rsidR="00ED25EF" w:rsidRDefault="00ED25EF" w:rsidP="00ED25EF">
      <w:pPr>
        <w:spacing w:after="0" w:line="240" w:lineRule="auto"/>
      </w:pPr>
      <w:r>
        <w:t>Heritability</w:t>
      </w:r>
    </w:p>
    <w:p w:rsidR="00ED25EF" w:rsidRDefault="00ED25EF" w:rsidP="00ED25EF">
      <w:pPr>
        <w:spacing w:after="0" w:line="240" w:lineRule="auto"/>
      </w:pPr>
      <w:r>
        <w:t>Genetic/environmental interactions</w:t>
      </w:r>
    </w:p>
    <w:p w:rsidR="00147BB1" w:rsidRDefault="00ED25EF" w:rsidP="00ED25EF">
      <w:pPr>
        <w:spacing w:after="0" w:line="240" w:lineRule="auto"/>
      </w:pPr>
      <w:r>
        <w:t>3 periods of prenatal development</w:t>
      </w:r>
      <w:r w:rsidR="00732A36">
        <w:t xml:space="preserve">: </w:t>
      </w:r>
      <w:r w:rsidR="00147BB1">
        <w:tab/>
        <w:t>Zygote</w:t>
      </w:r>
      <w:r w:rsidR="00A84DB6">
        <w:t xml:space="preserve"> (germinal)</w:t>
      </w:r>
      <w:r w:rsidR="00147BB1">
        <w:t>, embryo, fetus</w:t>
      </w:r>
    </w:p>
    <w:p w:rsidR="00DA2277" w:rsidRDefault="00ED25EF" w:rsidP="00ED25EF">
      <w:pPr>
        <w:spacing w:after="0" w:line="240" w:lineRule="auto"/>
      </w:pPr>
      <w:r>
        <w:t>Severity of effects of teratogens</w:t>
      </w:r>
      <w:r w:rsidR="00732A36">
        <w:t xml:space="preserve">: </w:t>
      </w:r>
      <w:r w:rsidR="00DA2277">
        <w:tab/>
        <w:t>Dose, timing, genetic make-up</w:t>
      </w:r>
    </w:p>
    <w:p w:rsidR="00A84DB6" w:rsidRDefault="00ED25EF" w:rsidP="00ED25EF">
      <w:pPr>
        <w:spacing w:after="0" w:line="240" w:lineRule="auto"/>
      </w:pPr>
      <w:r>
        <w:t>Effects of anorexia (mother) on baby</w:t>
      </w:r>
      <w:r w:rsidR="00732A36">
        <w:t xml:space="preserve">: </w:t>
      </w:r>
      <w:r w:rsidR="00A84DB6">
        <w:tab/>
        <w:t>Mental impairment</w:t>
      </w:r>
    </w:p>
    <w:p w:rsidR="00ED25EF" w:rsidRDefault="00ED25EF" w:rsidP="00ED25EF">
      <w:pPr>
        <w:spacing w:after="0" w:line="240" w:lineRule="auto"/>
      </w:pPr>
      <w:r>
        <w:t>Secular trends</w:t>
      </w:r>
    </w:p>
    <w:p w:rsidR="00ED25EF" w:rsidRDefault="00ED25EF" w:rsidP="00ED25EF">
      <w:pPr>
        <w:spacing w:after="0" w:line="240" w:lineRule="auto"/>
      </w:pPr>
      <w:r>
        <w:t>Dynamic systems perspective</w:t>
      </w:r>
    </w:p>
    <w:p w:rsidR="00A84DB6" w:rsidRDefault="00A84DB6" w:rsidP="00ED25EF">
      <w:pPr>
        <w:spacing w:after="0" w:line="240" w:lineRule="auto"/>
      </w:pPr>
      <w:r>
        <w:t>Diminished Reserve capacity – max heart rate declines with age</w:t>
      </w:r>
    </w:p>
    <w:p w:rsidR="00ED25EF" w:rsidRDefault="00ED25EF" w:rsidP="00ED25EF">
      <w:pPr>
        <w:spacing w:after="0" w:line="240" w:lineRule="auto"/>
      </w:pPr>
      <w:r>
        <w:t>Changes in speech perception with age</w:t>
      </w:r>
    </w:p>
    <w:p w:rsidR="00A84DB6" w:rsidRDefault="00ED25EF" w:rsidP="00ED25EF">
      <w:pPr>
        <w:spacing w:after="0" w:line="240" w:lineRule="auto"/>
      </w:pPr>
      <w:r>
        <w:t>Changes in vision at night with age</w:t>
      </w:r>
      <w:r w:rsidR="00732A36">
        <w:t xml:space="preserve">: </w:t>
      </w:r>
      <w:r w:rsidR="00A84DB6">
        <w:tab/>
        <w:t>Slower dark adaptation</w:t>
      </w:r>
    </w:p>
    <w:p w:rsidR="00ED25EF" w:rsidRDefault="00147BB1" w:rsidP="00ED25EF">
      <w:pPr>
        <w:spacing w:after="0" w:line="240" w:lineRule="auto"/>
      </w:pPr>
      <w:r>
        <w:t>Accommodation</w:t>
      </w:r>
      <w:r w:rsidR="00A84DB6">
        <w:t xml:space="preserve"> and assimilation</w:t>
      </w:r>
    </w:p>
    <w:p w:rsidR="00ED25EF" w:rsidRDefault="00ED25EF" w:rsidP="00ED25EF">
      <w:pPr>
        <w:spacing w:after="0" w:line="240" w:lineRule="auto"/>
      </w:pPr>
      <w:r>
        <w:t xml:space="preserve">Sensorimotor </w:t>
      </w:r>
      <w:proofErr w:type="spellStart"/>
      <w:r>
        <w:t>substages</w:t>
      </w:r>
      <w:proofErr w:type="spellEnd"/>
    </w:p>
    <w:p w:rsidR="00ED25EF" w:rsidRDefault="005A0121" w:rsidP="00ED25EF">
      <w:pPr>
        <w:spacing w:after="0" w:line="240" w:lineRule="auto"/>
      </w:pPr>
      <w:r>
        <w:t>Memory strategies</w:t>
      </w:r>
    </w:p>
    <w:p w:rsidR="005A0121" w:rsidRDefault="005A0121" w:rsidP="00ED25EF">
      <w:pPr>
        <w:spacing w:after="0" w:line="240" w:lineRule="auto"/>
      </w:pPr>
      <w:r>
        <w:t>Intelligence tasks</w:t>
      </w:r>
    </w:p>
    <w:p w:rsidR="005A0121" w:rsidRDefault="005A0121" w:rsidP="00ED25EF">
      <w:pPr>
        <w:spacing w:after="0" w:line="240" w:lineRule="auto"/>
      </w:pPr>
      <w:r>
        <w:t>Flynn effect</w:t>
      </w:r>
    </w:p>
    <w:p w:rsidR="005A0121" w:rsidRDefault="005A0121" w:rsidP="00ED25EF">
      <w:pPr>
        <w:spacing w:after="0" w:line="240" w:lineRule="auto"/>
      </w:pPr>
      <w:r>
        <w:t>Racial differences in IQ</w:t>
      </w:r>
    </w:p>
    <w:p w:rsidR="005A0121" w:rsidRDefault="005A0121" w:rsidP="00ED25EF">
      <w:pPr>
        <w:spacing w:after="0" w:line="240" w:lineRule="auto"/>
      </w:pPr>
      <w:r>
        <w:t>Semantics versus syntax</w:t>
      </w:r>
    </w:p>
    <w:p w:rsidR="005A0121" w:rsidRDefault="005A0121" w:rsidP="00ED25EF">
      <w:pPr>
        <w:spacing w:after="0" w:line="240" w:lineRule="auto"/>
      </w:pPr>
      <w:r>
        <w:t>Under and overextension</w:t>
      </w:r>
    </w:p>
    <w:p w:rsidR="005A0121" w:rsidRDefault="005A0121" w:rsidP="00ED25EF">
      <w:pPr>
        <w:spacing w:after="0" w:line="240" w:lineRule="auto"/>
      </w:pPr>
      <w:r>
        <w:t>Achievement motivation in adulthood</w:t>
      </w:r>
      <w:r w:rsidR="00A84DB6">
        <w:t xml:space="preserve"> – affected more by social context than aging</w:t>
      </w:r>
    </w:p>
    <w:p w:rsidR="005A0121" w:rsidRDefault="005A0121" w:rsidP="00ED25EF">
      <w:pPr>
        <w:spacing w:after="0" w:line="240" w:lineRule="auto"/>
      </w:pPr>
      <w:r>
        <w:t>Freud and Erikson’s views on personality development</w:t>
      </w:r>
    </w:p>
    <w:p w:rsidR="005A0121" w:rsidRDefault="005A0121" w:rsidP="00ED25EF">
      <w:pPr>
        <w:spacing w:after="0" w:line="240" w:lineRule="auto"/>
      </w:pPr>
      <w:r>
        <w:t>Marcia’s identity statuses</w:t>
      </w:r>
    </w:p>
    <w:p w:rsidR="005A0121" w:rsidRDefault="005A0121" w:rsidP="00ED25EF">
      <w:pPr>
        <w:spacing w:after="0" w:line="240" w:lineRule="auto"/>
      </w:pPr>
      <w:r>
        <w:t>Midlife crisis research</w:t>
      </w:r>
    </w:p>
    <w:p w:rsidR="005A0121" w:rsidRDefault="005A0121" w:rsidP="00ED25EF">
      <w:pPr>
        <w:spacing w:after="0" w:line="240" w:lineRule="auto"/>
      </w:pPr>
      <w:r>
        <w:t>Gender roles</w:t>
      </w:r>
    </w:p>
    <w:p w:rsidR="005A0121" w:rsidRDefault="005A0121" w:rsidP="00ED25EF">
      <w:pPr>
        <w:spacing w:after="0" w:line="240" w:lineRule="auto"/>
      </w:pPr>
      <w:r>
        <w:t>Kohlberg’s stages of moral development</w:t>
      </w:r>
    </w:p>
    <w:p w:rsidR="005A0121" w:rsidRDefault="005A0121" w:rsidP="00ED25EF">
      <w:pPr>
        <w:spacing w:after="0" w:line="240" w:lineRule="auto"/>
      </w:pPr>
      <w:r>
        <w:t>Dodge’s social information-processing model</w:t>
      </w:r>
    </w:p>
    <w:p w:rsidR="00732A36" w:rsidRDefault="00732A36" w:rsidP="00ED25EF">
      <w:pPr>
        <w:spacing w:after="0" w:line="240" w:lineRule="auto"/>
      </w:pPr>
      <w:r>
        <w:tab/>
        <w:t>Teens who commit violent antisocial acts have trouble processing social cues</w:t>
      </w:r>
    </w:p>
    <w:p w:rsidR="00732A36" w:rsidRDefault="005A0121" w:rsidP="00732A36">
      <w:pPr>
        <w:spacing w:after="0" w:line="240" w:lineRule="auto"/>
      </w:pPr>
      <w:r>
        <w:t>Attachment</w:t>
      </w:r>
      <w:r w:rsidR="00732A36">
        <w:t xml:space="preserve">, </w:t>
      </w:r>
      <w:r w:rsidR="00732A36">
        <w:t>Cultural standards for secure attachment differ</w:t>
      </w:r>
    </w:p>
    <w:p w:rsidR="005A0121" w:rsidRDefault="005A0121" w:rsidP="00ED25EF">
      <w:pPr>
        <w:spacing w:after="0" w:line="240" w:lineRule="auto"/>
      </w:pPr>
      <w:bookmarkStart w:id="0" w:name="_GoBack"/>
      <w:bookmarkEnd w:id="0"/>
      <w:proofErr w:type="spellStart"/>
      <w:r>
        <w:t>Socioemotional</w:t>
      </w:r>
      <w:proofErr w:type="spellEnd"/>
      <w:r>
        <w:t xml:space="preserve"> selectivity theory</w:t>
      </w:r>
    </w:p>
    <w:p w:rsidR="005A0121" w:rsidRDefault="005A0121" w:rsidP="00ED25EF">
      <w:pPr>
        <w:spacing w:after="0" w:line="240" w:lineRule="auto"/>
      </w:pPr>
      <w:r>
        <w:t>Parenting styles</w:t>
      </w:r>
    </w:p>
    <w:p w:rsidR="005A0121" w:rsidRDefault="005A0121" w:rsidP="00ED25EF">
      <w:pPr>
        <w:spacing w:after="0" w:line="240" w:lineRule="auto"/>
      </w:pPr>
      <w:r>
        <w:t>“</w:t>
      </w:r>
      <w:proofErr w:type="gramStart"/>
      <w:r>
        <w:t>middle</w:t>
      </w:r>
      <w:proofErr w:type="gramEnd"/>
      <w:r>
        <w:t>” generation squeeze</w:t>
      </w:r>
    </w:p>
    <w:p w:rsidR="005A0121" w:rsidRDefault="005A0121" w:rsidP="00ED25EF">
      <w:pPr>
        <w:spacing w:after="0" w:line="240" w:lineRule="auto"/>
      </w:pPr>
      <w:r>
        <w:t>Brain development and autism</w:t>
      </w:r>
    </w:p>
    <w:p w:rsidR="00732A36" w:rsidRDefault="00732A36" w:rsidP="00ED25EF">
      <w:pPr>
        <w:spacing w:after="0" w:line="240" w:lineRule="auto"/>
      </w:pPr>
      <w:r>
        <w:tab/>
        <w:t>Extensive brain growth after 1 year – improperly interconnected neurons</w:t>
      </w:r>
    </w:p>
    <w:p w:rsidR="005A0121" w:rsidRDefault="005A0121" w:rsidP="00ED25EF">
      <w:pPr>
        <w:spacing w:after="0" w:line="240" w:lineRule="auto"/>
      </w:pPr>
      <w:r>
        <w:t>Psychological health and adolescence</w:t>
      </w:r>
      <w:r w:rsidR="00732A36">
        <w:t xml:space="preserve"> – heightened vulnerability</w:t>
      </w:r>
    </w:p>
    <w:p w:rsidR="005A0121" w:rsidRDefault="005A0121" w:rsidP="00ED25EF">
      <w:pPr>
        <w:spacing w:after="0" w:line="240" w:lineRule="auto"/>
      </w:pPr>
      <w:r>
        <w:t>First sign of Alzheimer’s</w:t>
      </w:r>
    </w:p>
    <w:p w:rsidR="00732A36" w:rsidRDefault="005A0121" w:rsidP="00732A36">
      <w:pPr>
        <w:spacing w:after="0" w:line="240" w:lineRule="auto"/>
        <w:rPr>
          <w:sz w:val="22"/>
        </w:rPr>
      </w:pPr>
      <w:proofErr w:type="spellStart"/>
      <w:r>
        <w:t>Hayflick</w:t>
      </w:r>
      <w:proofErr w:type="spellEnd"/>
      <w:r>
        <w:t xml:space="preserve"> limit</w:t>
      </w:r>
      <w:r w:rsidR="00732A36">
        <w:t xml:space="preserve"> = </w:t>
      </w:r>
      <w:r w:rsidR="00732A36">
        <w:rPr>
          <w:sz w:val="22"/>
        </w:rPr>
        <w:t>the number of times that a cell can divide/double itself.</w:t>
      </w:r>
    </w:p>
    <w:p w:rsidR="00A84DB6" w:rsidRDefault="00732A36" w:rsidP="00ED25EF">
      <w:pPr>
        <w:spacing w:after="0" w:line="240" w:lineRule="auto"/>
      </w:pPr>
      <w:r>
        <w:t>C</w:t>
      </w:r>
      <w:r w:rsidR="00A84DB6">
        <w:t>entration</w:t>
      </w:r>
    </w:p>
    <w:p w:rsidR="00732A36" w:rsidRDefault="005A0121" w:rsidP="00ED25EF">
      <w:pPr>
        <w:spacing w:after="0" w:line="240" w:lineRule="auto"/>
      </w:pPr>
      <w:r>
        <w:t>Parke’s/</w:t>
      </w:r>
      <w:proofErr w:type="spellStart"/>
      <w:r>
        <w:t>Bowlby</w:t>
      </w:r>
      <w:proofErr w:type="spellEnd"/>
      <w:r>
        <w:t xml:space="preserve"> model of bereavement</w:t>
      </w:r>
      <w:r w:rsidR="00732A36">
        <w:t xml:space="preserve"> – grief like separation anxiety – reorganization </w:t>
      </w:r>
    </w:p>
    <w:p w:rsidR="00DA2277" w:rsidRDefault="00DA2277" w:rsidP="00ED25EF">
      <w:pPr>
        <w:spacing w:after="0" w:line="240" w:lineRule="auto"/>
      </w:pPr>
      <w:r>
        <w:t>Nativism</w:t>
      </w:r>
    </w:p>
    <w:p w:rsidR="00DA2277" w:rsidRDefault="00A84DB6" w:rsidP="00ED25EF">
      <w:pPr>
        <w:spacing w:after="0" w:line="240" w:lineRule="auto"/>
      </w:pPr>
      <w:r>
        <w:t>Androgyny shift in midlife</w:t>
      </w:r>
    </w:p>
    <w:sectPr w:rsidR="00DA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12"/>
    <w:rsid w:val="00147BB1"/>
    <w:rsid w:val="001B52A7"/>
    <w:rsid w:val="002D3D12"/>
    <w:rsid w:val="005A0121"/>
    <w:rsid w:val="00732A36"/>
    <w:rsid w:val="00A84DB6"/>
    <w:rsid w:val="00B92412"/>
    <w:rsid w:val="00DA2277"/>
    <w:rsid w:val="00E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Vonk</dc:creator>
  <cp:lastModifiedBy>Jennifer Vonk</cp:lastModifiedBy>
  <cp:revision>1</cp:revision>
  <dcterms:created xsi:type="dcterms:W3CDTF">2013-03-27T15:41:00Z</dcterms:created>
  <dcterms:modified xsi:type="dcterms:W3CDTF">2013-03-27T17:37:00Z</dcterms:modified>
</cp:coreProperties>
</file>